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C357" w14:textId="77777777" w:rsidR="00E03FAE" w:rsidRDefault="00000000">
      <w:pPr>
        <w:pStyle w:val="FirstParagraph"/>
      </w:pPr>
      <w:r>
        <w:rPr>
          <w:b/>
          <w:bCs/>
        </w:rPr>
        <w:t>Role: Director of Communications and Senior Writer</w:t>
      </w:r>
    </w:p>
    <w:p w14:paraId="62E4BC9E" w14:textId="77777777" w:rsidR="00E03FAE" w:rsidRDefault="00000000">
      <w:r>
        <w:pict w14:anchorId="5E6B2A0C">
          <v:rect id="_x0000_i1025" style="width:0;height:1.5pt" o:hralign="center" o:hrstd="t" o:hr="t"/>
        </w:pict>
      </w:r>
    </w:p>
    <w:p w14:paraId="7C24D555" w14:textId="77777777" w:rsidR="00E03FAE" w:rsidRDefault="00000000">
      <w:pPr>
        <w:pStyle w:val="Heading3"/>
      </w:pPr>
      <w:bookmarkStart w:id="0" w:name="ai-exposure-task-efficiency-analysis"/>
      <w:r>
        <w:rPr>
          <w:b/>
          <w:bCs/>
        </w:rPr>
        <w:t>AI Exposure &amp; Task Efficiency Analysis</w:t>
      </w:r>
    </w:p>
    <w:tbl>
      <w:tblPr>
        <w:tblStyle w:val="Table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19"/>
        <w:gridCol w:w="1260"/>
        <w:gridCol w:w="1979"/>
        <w:gridCol w:w="3511"/>
      </w:tblGrid>
      <w:tr w:rsidR="00E03FAE" w14:paraId="58D24243" w14:textId="77777777" w:rsidTr="00B57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718" w:type="dxa"/>
            <w:tcBorders>
              <w:bottom w:val="none" w:sz="0" w:space="0" w:color="auto"/>
            </w:tcBorders>
          </w:tcPr>
          <w:p w14:paraId="2C191936" w14:textId="77777777" w:rsidR="00E03FAE" w:rsidRDefault="00000000">
            <w:pPr>
              <w:pStyle w:val="Compact"/>
            </w:pPr>
            <w:r>
              <w:rPr>
                <w:b/>
                <w:bCs/>
              </w:rPr>
              <w:t>Task</w:t>
            </w:r>
          </w:p>
        </w:tc>
        <w:tc>
          <w:tcPr>
            <w:tcW w:w="1260" w:type="dxa"/>
            <w:tcBorders>
              <w:bottom w:val="none" w:sz="0" w:space="0" w:color="auto"/>
            </w:tcBorders>
          </w:tcPr>
          <w:p w14:paraId="59E905DB" w14:textId="77777777" w:rsidR="00E03FAE" w:rsidRDefault="00000000">
            <w:pPr>
              <w:pStyle w:val="Compact"/>
            </w:pPr>
            <w:r>
              <w:rPr>
                <w:b/>
                <w:bCs/>
              </w:rPr>
              <w:t>Exposure Level</w:t>
            </w:r>
          </w:p>
        </w:tc>
        <w:tc>
          <w:tcPr>
            <w:tcW w:w="1979" w:type="dxa"/>
            <w:tcBorders>
              <w:bottom w:val="none" w:sz="0" w:space="0" w:color="auto"/>
            </w:tcBorders>
          </w:tcPr>
          <w:p w14:paraId="5B928936" w14:textId="77777777" w:rsidR="00E03FAE" w:rsidRDefault="00000000">
            <w:pPr>
              <w:pStyle w:val="Compact"/>
            </w:pPr>
            <w:r>
              <w:rPr>
                <w:b/>
                <w:bCs/>
              </w:rPr>
              <w:t>Estimated Time Saved (%)</w:t>
            </w:r>
          </w:p>
        </w:tc>
        <w:tc>
          <w:tcPr>
            <w:tcW w:w="3511" w:type="dxa"/>
            <w:tcBorders>
              <w:bottom w:val="none" w:sz="0" w:space="0" w:color="auto"/>
            </w:tcBorders>
          </w:tcPr>
          <w:p w14:paraId="1FA6B09D" w14:textId="77777777" w:rsidR="00E03FAE" w:rsidRDefault="00000000">
            <w:pPr>
              <w:pStyle w:val="Compact"/>
            </w:pPr>
            <w:r>
              <w:rPr>
                <w:b/>
                <w:bCs/>
              </w:rPr>
              <w:t>Rationale</w:t>
            </w:r>
          </w:p>
        </w:tc>
      </w:tr>
      <w:tr w:rsidR="00E03FAE" w14:paraId="3DD05DA0" w14:textId="77777777" w:rsidTr="00B57D7E">
        <w:tc>
          <w:tcPr>
            <w:tcW w:w="2718" w:type="dxa"/>
          </w:tcPr>
          <w:p w14:paraId="1544EC45" w14:textId="77777777" w:rsidR="00E03FAE" w:rsidRDefault="00000000">
            <w:pPr>
              <w:pStyle w:val="Compact"/>
            </w:pPr>
            <w:r>
              <w:t>Develop and oversee external communications strategy</w:t>
            </w:r>
          </w:p>
        </w:tc>
        <w:tc>
          <w:tcPr>
            <w:tcW w:w="1260" w:type="dxa"/>
          </w:tcPr>
          <w:p w14:paraId="1028C413" w14:textId="77777777" w:rsidR="00E03FAE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06F6B871" w14:textId="77777777" w:rsidR="00E03FAE" w:rsidRDefault="00000000">
            <w:pPr>
              <w:pStyle w:val="Compact"/>
            </w:pPr>
            <w:r>
              <w:t>30–40%</w:t>
            </w:r>
          </w:p>
        </w:tc>
        <w:tc>
          <w:tcPr>
            <w:tcW w:w="3511" w:type="dxa"/>
          </w:tcPr>
          <w:p w14:paraId="420E689E" w14:textId="77777777" w:rsidR="00E03FAE" w:rsidRDefault="00000000">
            <w:pPr>
              <w:pStyle w:val="Compact"/>
            </w:pPr>
            <w:r>
              <w:t>Advanced reasoning models can analyze audience data, policy cycles, and media trends to inform strategy and scenario planning.</w:t>
            </w:r>
          </w:p>
        </w:tc>
      </w:tr>
      <w:tr w:rsidR="00E03FAE" w14:paraId="24D4B468" w14:textId="77777777" w:rsidTr="00B57D7E">
        <w:tc>
          <w:tcPr>
            <w:tcW w:w="2718" w:type="dxa"/>
          </w:tcPr>
          <w:p w14:paraId="7DA48FFF" w14:textId="77777777" w:rsidR="00E03FAE" w:rsidRDefault="00000000">
            <w:pPr>
              <w:pStyle w:val="Compact"/>
            </w:pPr>
            <w:r>
              <w:t>Write and edit research briefs and feature stories</w:t>
            </w:r>
          </w:p>
        </w:tc>
        <w:tc>
          <w:tcPr>
            <w:tcW w:w="1260" w:type="dxa"/>
          </w:tcPr>
          <w:p w14:paraId="2D3537C7" w14:textId="77777777" w:rsidR="00E03FAE" w:rsidRDefault="00000000">
            <w:pPr>
              <w:pStyle w:val="Compact"/>
            </w:pPr>
            <w:r>
              <w:t>E2/E7</w:t>
            </w:r>
          </w:p>
        </w:tc>
        <w:tc>
          <w:tcPr>
            <w:tcW w:w="1979" w:type="dxa"/>
          </w:tcPr>
          <w:p w14:paraId="6DA996CC" w14:textId="77777777" w:rsidR="00E03FAE" w:rsidRDefault="00000000">
            <w:pPr>
              <w:pStyle w:val="Compact"/>
            </w:pPr>
            <w:r>
              <w:t>45–55%</w:t>
            </w:r>
          </w:p>
        </w:tc>
        <w:tc>
          <w:tcPr>
            <w:tcW w:w="3511" w:type="dxa"/>
          </w:tcPr>
          <w:p w14:paraId="1E0AF138" w14:textId="77777777" w:rsidR="00E03FAE" w:rsidRDefault="00000000">
            <w:pPr>
              <w:pStyle w:val="Compact"/>
            </w:pPr>
            <w:r>
              <w:t>LLMs can draft first versions from academic papers, generate multiple framing options, and ensure clarity for non-academic audiences.</w:t>
            </w:r>
          </w:p>
        </w:tc>
      </w:tr>
      <w:tr w:rsidR="00E03FAE" w14:paraId="4B151FF5" w14:textId="77777777" w:rsidTr="00B57D7E">
        <w:tc>
          <w:tcPr>
            <w:tcW w:w="2718" w:type="dxa"/>
          </w:tcPr>
          <w:p w14:paraId="0F19C310" w14:textId="77777777" w:rsidR="00E03FAE" w:rsidRDefault="00000000">
            <w:pPr>
              <w:pStyle w:val="Compact"/>
            </w:pPr>
            <w:r>
              <w:t>Manage press relations and promote faculty expertise</w:t>
            </w:r>
          </w:p>
        </w:tc>
        <w:tc>
          <w:tcPr>
            <w:tcW w:w="1260" w:type="dxa"/>
          </w:tcPr>
          <w:p w14:paraId="6A5D0903" w14:textId="77777777" w:rsidR="00E03FAE" w:rsidRDefault="00000000">
            <w:pPr>
              <w:pStyle w:val="Compact"/>
            </w:pPr>
            <w:r>
              <w:t>E8</w:t>
            </w:r>
          </w:p>
        </w:tc>
        <w:tc>
          <w:tcPr>
            <w:tcW w:w="1979" w:type="dxa"/>
          </w:tcPr>
          <w:p w14:paraId="0E2FADE1" w14:textId="77777777" w:rsidR="00E03FAE" w:rsidRDefault="00000000">
            <w:pPr>
              <w:pStyle w:val="Compact"/>
            </w:pPr>
            <w:r>
              <w:t>35–45%</w:t>
            </w:r>
          </w:p>
        </w:tc>
        <w:tc>
          <w:tcPr>
            <w:tcW w:w="3511" w:type="dxa"/>
          </w:tcPr>
          <w:p w14:paraId="562E58E5" w14:textId="77777777" w:rsidR="00E03FAE" w:rsidRDefault="00000000">
            <w:pPr>
              <w:pStyle w:val="Compact"/>
            </w:pPr>
            <w:r>
              <w:t>AI tools can identify relevant reporters, suggest tailored pitches, and optimize messaging for persuasion and credibility.</w:t>
            </w:r>
          </w:p>
        </w:tc>
      </w:tr>
      <w:tr w:rsidR="00E03FAE" w14:paraId="24B68C40" w14:textId="77777777" w:rsidTr="00B57D7E">
        <w:tc>
          <w:tcPr>
            <w:tcW w:w="2718" w:type="dxa"/>
          </w:tcPr>
          <w:p w14:paraId="0477E0E2" w14:textId="77777777" w:rsidR="00E03FAE" w:rsidRDefault="00000000">
            <w:pPr>
              <w:pStyle w:val="Compact"/>
            </w:pPr>
            <w:r>
              <w:t>Oversee editorial calendar and supervise writers/designers</w:t>
            </w:r>
          </w:p>
        </w:tc>
        <w:tc>
          <w:tcPr>
            <w:tcW w:w="1260" w:type="dxa"/>
          </w:tcPr>
          <w:p w14:paraId="05FB00A4" w14:textId="77777777" w:rsidR="00E03FAE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09545272" w14:textId="77777777" w:rsidR="00E03FAE" w:rsidRDefault="00000000">
            <w:pPr>
              <w:pStyle w:val="Compact"/>
            </w:pPr>
            <w:r>
              <w:t>30–40%</w:t>
            </w:r>
          </w:p>
        </w:tc>
        <w:tc>
          <w:tcPr>
            <w:tcW w:w="3511" w:type="dxa"/>
          </w:tcPr>
          <w:p w14:paraId="02EBA21B" w14:textId="77777777" w:rsidR="00E03FAE" w:rsidRDefault="00000000">
            <w:pPr>
              <w:pStyle w:val="Compact"/>
            </w:pPr>
            <w:r>
              <w:t>AI project management systems can forecast bottlenecks, optimize workloads, and suggest content sequencing based on impact data.</w:t>
            </w:r>
          </w:p>
        </w:tc>
      </w:tr>
      <w:tr w:rsidR="00E03FAE" w14:paraId="6A9A2E1D" w14:textId="77777777" w:rsidTr="00B57D7E">
        <w:tc>
          <w:tcPr>
            <w:tcW w:w="2718" w:type="dxa"/>
          </w:tcPr>
          <w:p w14:paraId="0A2F2DB3" w14:textId="77777777" w:rsidR="00E03FAE" w:rsidRDefault="00000000">
            <w:pPr>
              <w:pStyle w:val="Compact"/>
            </w:pPr>
            <w:r>
              <w:t>Edit dean’s messaging and internal communications</w:t>
            </w:r>
          </w:p>
        </w:tc>
        <w:tc>
          <w:tcPr>
            <w:tcW w:w="1260" w:type="dxa"/>
          </w:tcPr>
          <w:p w14:paraId="4EF8EA38" w14:textId="77777777" w:rsidR="00E03FAE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3E3E370B" w14:textId="77777777" w:rsidR="00E03FAE" w:rsidRDefault="00000000">
            <w:pPr>
              <w:pStyle w:val="Compact"/>
            </w:pPr>
            <w:r>
              <w:t>35–45%</w:t>
            </w:r>
          </w:p>
        </w:tc>
        <w:tc>
          <w:tcPr>
            <w:tcW w:w="3511" w:type="dxa"/>
          </w:tcPr>
          <w:p w14:paraId="73D26C85" w14:textId="77777777" w:rsidR="00E03FAE" w:rsidRDefault="00000000">
            <w:pPr>
              <w:pStyle w:val="Compact"/>
            </w:pPr>
            <w:r>
              <w:t>AI editors can ensure tone consistency, clarity, and alignment with institutional priorities across communications.</w:t>
            </w:r>
          </w:p>
        </w:tc>
      </w:tr>
      <w:tr w:rsidR="00E03FAE" w14:paraId="0A826104" w14:textId="77777777" w:rsidTr="00B57D7E">
        <w:tc>
          <w:tcPr>
            <w:tcW w:w="2718" w:type="dxa"/>
          </w:tcPr>
          <w:p w14:paraId="37E7FBDB" w14:textId="77777777" w:rsidR="00E03FAE" w:rsidRDefault="00000000">
            <w:pPr>
              <w:pStyle w:val="Compact"/>
            </w:pPr>
            <w:r>
              <w:t>Co-manage social media channels and analytics</w:t>
            </w:r>
          </w:p>
        </w:tc>
        <w:tc>
          <w:tcPr>
            <w:tcW w:w="1260" w:type="dxa"/>
          </w:tcPr>
          <w:p w14:paraId="59B5DAEC" w14:textId="77777777" w:rsidR="00E03FAE" w:rsidRDefault="00000000">
            <w:pPr>
              <w:pStyle w:val="Compact"/>
            </w:pPr>
            <w:r>
              <w:t>E9</w:t>
            </w:r>
          </w:p>
        </w:tc>
        <w:tc>
          <w:tcPr>
            <w:tcW w:w="1979" w:type="dxa"/>
          </w:tcPr>
          <w:p w14:paraId="309C6BD3" w14:textId="77777777" w:rsidR="00E03FAE" w:rsidRDefault="00000000">
            <w:pPr>
              <w:pStyle w:val="Compact"/>
            </w:pPr>
            <w:r>
              <w:t>45–55%</w:t>
            </w:r>
          </w:p>
        </w:tc>
        <w:tc>
          <w:tcPr>
            <w:tcW w:w="3511" w:type="dxa"/>
          </w:tcPr>
          <w:p w14:paraId="7BE13A31" w14:textId="77777777" w:rsidR="00E03FAE" w:rsidRDefault="00000000">
            <w:pPr>
              <w:pStyle w:val="Compact"/>
            </w:pPr>
            <w:r>
              <w:t>AI agents can schedule posts, adapt content per platform, monitor engagement, and recommend adjustments in real time.</w:t>
            </w:r>
          </w:p>
        </w:tc>
      </w:tr>
      <w:tr w:rsidR="00E03FAE" w14:paraId="42504E87" w14:textId="77777777" w:rsidTr="00B57D7E">
        <w:tc>
          <w:tcPr>
            <w:tcW w:w="2718" w:type="dxa"/>
          </w:tcPr>
          <w:p w14:paraId="46D089A1" w14:textId="77777777" w:rsidR="00E03FAE" w:rsidRDefault="00000000">
            <w:pPr>
              <w:pStyle w:val="Compact"/>
            </w:pPr>
            <w:r>
              <w:t>Produce podcasts and multimedia content</w:t>
            </w:r>
          </w:p>
        </w:tc>
        <w:tc>
          <w:tcPr>
            <w:tcW w:w="1260" w:type="dxa"/>
          </w:tcPr>
          <w:p w14:paraId="493CC1A6" w14:textId="77777777" w:rsidR="00E03FAE" w:rsidRDefault="00000000">
            <w:pPr>
              <w:pStyle w:val="Compact"/>
            </w:pPr>
            <w:r>
              <w:t>E4/E5</w:t>
            </w:r>
          </w:p>
        </w:tc>
        <w:tc>
          <w:tcPr>
            <w:tcW w:w="1979" w:type="dxa"/>
          </w:tcPr>
          <w:p w14:paraId="3ADDE72E" w14:textId="77777777" w:rsidR="00E03FAE" w:rsidRDefault="00000000">
            <w:pPr>
              <w:pStyle w:val="Compact"/>
            </w:pPr>
            <w:r>
              <w:t>40–50%</w:t>
            </w:r>
          </w:p>
        </w:tc>
        <w:tc>
          <w:tcPr>
            <w:tcW w:w="3511" w:type="dxa"/>
          </w:tcPr>
          <w:p w14:paraId="6DFA9C6F" w14:textId="77777777" w:rsidR="00E03FAE" w:rsidRDefault="00000000">
            <w:pPr>
              <w:pStyle w:val="Compact"/>
            </w:pPr>
            <w:r>
              <w:t xml:space="preserve">AI audio and video tools can automate editing, transcription, captioning, and distribution </w:t>
            </w:r>
            <w:r>
              <w:lastRenderedPageBreak/>
              <w:t>workflows.</w:t>
            </w:r>
          </w:p>
        </w:tc>
      </w:tr>
      <w:tr w:rsidR="00E03FAE" w14:paraId="68C2A35A" w14:textId="77777777" w:rsidTr="00B57D7E">
        <w:tc>
          <w:tcPr>
            <w:tcW w:w="2718" w:type="dxa"/>
          </w:tcPr>
          <w:p w14:paraId="1DE162CB" w14:textId="77777777" w:rsidR="00E03FAE" w:rsidRDefault="00000000">
            <w:pPr>
              <w:pStyle w:val="Compact"/>
            </w:pPr>
            <w:r>
              <w:lastRenderedPageBreak/>
              <w:t>Serve as liaison to central communications and campus partners</w:t>
            </w:r>
          </w:p>
        </w:tc>
        <w:tc>
          <w:tcPr>
            <w:tcW w:w="1260" w:type="dxa"/>
          </w:tcPr>
          <w:p w14:paraId="6A97BFBD" w14:textId="77777777" w:rsidR="00E03FAE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5AA3A620" w14:textId="77777777" w:rsidR="00E03FAE" w:rsidRDefault="00000000">
            <w:pPr>
              <w:pStyle w:val="Compact"/>
            </w:pPr>
            <w:r>
              <w:t>25–35%</w:t>
            </w:r>
          </w:p>
        </w:tc>
        <w:tc>
          <w:tcPr>
            <w:tcW w:w="3511" w:type="dxa"/>
          </w:tcPr>
          <w:p w14:paraId="53290C1D" w14:textId="77777777" w:rsidR="00E03FAE" w:rsidRDefault="00000000">
            <w:pPr>
              <w:pStyle w:val="Compact"/>
            </w:pPr>
            <w:r>
              <w:t>AI assistants can synthesize cross-campus updates and surface alignment opportunities or redundancies.</w:t>
            </w:r>
          </w:p>
        </w:tc>
      </w:tr>
      <w:tr w:rsidR="00E03FAE" w14:paraId="0F2171B0" w14:textId="77777777" w:rsidTr="00B57D7E">
        <w:tc>
          <w:tcPr>
            <w:tcW w:w="2718" w:type="dxa"/>
          </w:tcPr>
          <w:p w14:paraId="0E01A657" w14:textId="77777777" w:rsidR="00E03FAE" w:rsidRDefault="00000000">
            <w:pPr>
              <w:pStyle w:val="Compact"/>
            </w:pPr>
            <w:r>
              <w:t>Project manage Annual Report and major publications</w:t>
            </w:r>
          </w:p>
        </w:tc>
        <w:tc>
          <w:tcPr>
            <w:tcW w:w="1260" w:type="dxa"/>
          </w:tcPr>
          <w:p w14:paraId="705707A2" w14:textId="77777777" w:rsidR="00E03FAE" w:rsidRDefault="00000000">
            <w:pPr>
              <w:pStyle w:val="Compact"/>
            </w:pPr>
            <w:r>
              <w:t>E7</w:t>
            </w:r>
          </w:p>
        </w:tc>
        <w:tc>
          <w:tcPr>
            <w:tcW w:w="1979" w:type="dxa"/>
          </w:tcPr>
          <w:p w14:paraId="55CCBC40" w14:textId="77777777" w:rsidR="00E03FAE" w:rsidRDefault="00000000">
            <w:pPr>
              <w:pStyle w:val="Compact"/>
            </w:pPr>
            <w:r>
              <w:t>35–45%</w:t>
            </w:r>
          </w:p>
        </w:tc>
        <w:tc>
          <w:tcPr>
            <w:tcW w:w="3511" w:type="dxa"/>
          </w:tcPr>
          <w:p w14:paraId="2A5EBA65" w14:textId="77777777" w:rsidR="00E03FAE" w:rsidRDefault="00000000">
            <w:pPr>
              <w:pStyle w:val="Compact"/>
            </w:pPr>
            <w:r>
              <w:t>AI tools can track milestones, manage contributors, and generate draft narratives from collected data.</w:t>
            </w:r>
          </w:p>
        </w:tc>
      </w:tr>
    </w:tbl>
    <w:p w14:paraId="11131ADF" w14:textId="77777777" w:rsidR="00E03FAE" w:rsidRDefault="00000000">
      <w:r>
        <w:pict w14:anchorId="5038FD41">
          <v:rect id="_x0000_i1026" style="width:0;height:1.5pt" o:hralign="center" o:hrstd="t" o:hr="t"/>
        </w:pict>
      </w:r>
    </w:p>
    <w:p w14:paraId="24FA9DC0" w14:textId="77777777" w:rsidR="00E03FAE" w:rsidRDefault="00000000">
      <w:pPr>
        <w:pStyle w:val="Heading3"/>
      </w:pPr>
      <w:bookmarkStart w:id="1" w:name="how-ai-can-enhance-this-role-today"/>
      <w:bookmarkEnd w:id="0"/>
      <w:r>
        <w:rPr>
          <w:b/>
          <w:bCs/>
        </w:rPr>
        <w:t>How AI Can Enhance This Role Today</w:t>
      </w:r>
    </w:p>
    <w:p w14:paraId="3D82A631" w14:textId="77777777" w:rsidR="00E03FAE" w:rsidRDefault="00000000">
      <w:pPr>
        <w:pStyle w:val="FirstParagraph"/>
      </w:pPr>
      <w:r>
        <w:t>Today, AI dramatically accelerates content creation and coordination. Research-heavy communications can be translated into compelling narratives at scale, while AI-powered editorial systems ensure consistency across writers, platforms, and formats. The Director can spend less time editing line-by-line and more time shaping narrative strategy, mentoring staff, and identifying high-impact storytelling opportunities.</w:t>
      </w:r>
    </w:p>
    <w:p w14:paraId="582E7EAA" w14:textId="77777777" w:rsidR="00E03FAE" w:rsidRDefault="00000000">
      <w:r>
        <w:pict w14:anchorId="355879DC">
          <v:rect id="_x0000_i1027" style="width:0;height:1.5pt" o:hralign="center" o:hrstd="t" o:hr="t"/>
        </w:pict>
      </w:r>
    </w:p>
    <w:p w14:paraId="0ABE29EF" w14:textId="77777777" w:rsidR="00E03FAE" w:rsidRDefault="00000000">
      <w:pPr>
        <w:pStyle w:val="Heading3"/>
      </w:pPr>
      <w:bookmarkStart w:id="2" w:name="X63830616d658cabf2457426d941bf45c6bf1ad5"/>
      <w:bookmarkEnd w:id="1"/>
      <w:r>
        <w:rPr>
          <w:b/>
          <w:bCs/>
        </w:rPr>
        <w:t>What This Role Looks Like in 2 Years (2028 Outlook)</w:t>
      </w:r>
    </w:p>
    <w:p w14:paraId="3C5B7810" w14:textId="77777777" w:rsidR="00E03FAE" w:rsidRDefault="00000000">
      <w:pPr>
        <w:pStyle w:val="FirstParagraph"/>
      </w:pPr>
      <w:r>
        <w:t xml:space="preserve">By 2028, the Director of Communications and Senior Writer becomes the School’s </w:t>
      </w:r>
      <w:r>
        <w:rPr>
          <w:b/>
          <w:bCs/>
        </w:rPr>
        <w:t>chief narrative strategist</w:t>
      </w:r>
      <w:r>
        <w:t>. AI systems continuously scan faculty research, policy debates, and media cycles to surface story opportunities before competitors.</w:t>
      </w:r>
    </w:p>
    <w:p w14:paraId="1C19C72B" w14:textId="77777777" w:rsidR="00E03FAE" w:rsidRDefault="00000000">
      <w:pPr>
        <w:pStyle w:val="BodyText"/>
      </w:pPr>
      <w:r>
        <w:t>Rather than drafting from scratch, the Director curates, refines, and approves AI-generated content pipelines that produce research briefs, features, podcasts, and social assets simultaneously. Their value centers on judgment, ethics, and narrative coherence — ensuring that speed does not come at the expense of rigor or institutional voice.</w:t>
      </w:r>
    </w:p>
    <w:p w14:paraId="23FA8FCB" w14:textId="77777777" w:rsidR="00E03FAE" w:rsidRDefault="00000000">
      <w:pPr>
        <w:pStyle w:val="BodyText"/>
      </w:pPr>
      <w:r>
        <w:t>This role increasingly blends editorial leadership with systems design: setting standards, training AI models on institutional tone, and orchestrating a distributed network of human and AI creators across campus.</w:t>
      </w:r>
    </w:p>
    <w:p w14:paraId="64CD335C" w14:textId="77777777" w:rsidR="00B57D7E" w:rsidRDefault="00B57D7E">
      <w:pPr>
        <w:pStyle w:val="BodyText"/>
      </w:pPr>
    </w:p>
    <w:p w14:paraId="10A36D5C" w14:textId="77777777" w:rsidR="00B57D7E" w:rsidRDefault="00B57D7E" w:rsidP="00B57D7E">
      <w:r>
        <w:pict w14:anchorId="5A30791F">
          <v:rect id="_x0000_i1028" style="width:0;height:1.5pt" o:hralign="center" o:hrstd="t" o:hr="t"/>
        </w:pict>
      </w:r>
    </w:p>
    <w:p w14:paraId="68A726C1" w14:textId="77777777" w:rsidR="00B57D7E" w:rsidRDefault="00B57D7E" w:rsidP="00B57D7E">
      <w:pPr>
        <w:pStyle w:val="FirstParagraph"/>
      </w:pPr>
      <w:r>
        <w:rPr>
          <w:b/>
          <w:bCs/>
        </w:rPr>
        <w:t>Exposure Key:</w:t>
      </w:r>
      <w:r>
        <w:br/>
        <w:t>E0 – No exposure</w:t>
      </w:r>
      <w:r>
        <w:br/>
        <w:t>E1 – Direct exposure</w:t>
      </w:r>
      <w:r>
        <w:br/>
        <w:t>E2 – Exposure by LLM-powered applications</w:t>
      </w:r>
      <w:r>
        <w:br/>
      </w:r>
      <w:r>
        <w:lastRenderedPageBreak/>
        <w:t>E3 – Exposure given image capabilities</w:t>
      </w:r>
      <w:r>
        <w:br/>
        <w:t>E4 – Exposure given video capabilities</w:t>
      </w:r>
      <w:r>
        <w:br/>
        <w:t>E5 – Exposure given audio capabilities</w:t>
      </w:r>
      <w:r>
        <w:br/>
        <w:t>E6 – Exposure given voice capabilities</w:t>
      </w:r>
      <w:r>
        <w:br/>
        <w:t>E7 – Exposure given advanced reasoning capabilities</w:t>
      </w:r>
      <w:r>
        <w:br/>
        <w:t>E8 – Exposure given persuasion capabilities</w:t>
      </w:r>
      <w:r>
        <w:br/>
        <w:t>E9 – Exposure given digital world action capabilities (AI Agents)</w:t>
      </w:r>
      <w:r>
        <w:br/>
        <w:t>E10 – Exposure given physical world vision capabilities (AI Vision Devices)</w:t>
      </w:r>
      <w:r>
        <w:br/>
        <w:t>E11 – Exposure given physical world action capabilities (Humanoid Robots)</w:t>
      </w:r>
    </w:p>
    <w:bookmarkEnd w:id="2"/>
    <w:p w14:paraId="225A694A" w14:textId="77777777" w:rsidR="00B57D7E" w:rsidRDefault="00B57D7E">
      <w:pPr>
        <w:pStyle w:val="BodyText"/>
      </w:pPr>
    </w:p>
    <w:sectPr w:rsidR="00B57D7E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F5D0C4A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643583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3FAE"/>
    <w:rsid w:val="00495E5C"/>
    <w:rsid w:val="00B57D7E"/>
    <w:rsid w:val="00E0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9D0EE"/>
  <w15:docId w15:val="{E1C3E37D-CBCE-4D61-BAEA-D7457661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Brian Piper</cp:lastModifiedBy>
  <cp:revision>2</cp:revision>
  <dcterms:created xsi:type="dcterms:W3CDTF">2026-01-07T16:33:00Z</dcterms:created>
  <dcterms:modified xsi:type="dcterms:W3CDTF">2026-01-08T13:50:00Z</dcterms:modified>
</cp:coreProperties>
</file>